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Cerio Jeffrey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KORRO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FIRST STREET, 2ND FLOOR,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Korro Bio, Inc.</w:t>
              </w:r>
            </w:hyperlink>
            <w:r>
              <w:rPr/>
              <w:t xml:space="preserve"> [ </w:t>
            </w:r>
            <w:r>
              <w:rPr>
                <w:rFonts w:ascii="Times;serif" w:hAnsi="Times;serif"/>
                <w:color w:val="0000FF"/>
                <w:sz w:val="24"/>
                <w:shd w:fill="FFFFFF" w:val="clear"/>
              </w:rPr>
              <w:t>KRRO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6,500</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41,793</w:t>
            </w:r>
            <w:r>
              <w:rPr>
                <w:rFonts w:ascii="Times;serif" w:hAnsi="Times;serif"/>
                <w:color w:val="008000"/>
                <w:position w:val="7"/>
                <w:sz w:val="16"/>
                <w:sz w:val="20"/>
                <w:shd w:fill="FFFFFF" w:val="clear"/>
              </w:rPr>
              <w:t>(2)</w:t>
            </w:r>
            <w:r>
              <w:rPr/>
              <w:t xml:space="preserve"> </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issuable upon settlement of a restricted stock unit (RSU) granted under the Issuer's 2023 Stock Option and Incentive Plan (the 2023 Plan) that will vest as follows: 50% on July 15, 2027 and 50% on July 15, 2028, in each case subject to the reporting person maintaining a continuous Service Relationship (as defined in the 2023 Plan)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27,451 shares of common stock issuable upon settlement of restricted stock units (RSUs) that remain unvested, consisting of 20,951 shares that will vest on December 15, 2026, 3,250 shares that will vest on July 15, 2027, and 3,250 shares that will vest on July 15, 2028, in each case subject to the reporting person maintaining a continuous Service Relationship (as defined in the 2023 Plan)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Cerio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3618" TargetMode="External"/><Relationship Id="rId5" Type="http://schemas.openxmlformats.org/officeDocument/2006/relationships/hyperlink" Target="http://www.sec.gov/cgi-bin/browse-edgar?action=getcompany&amp;CIK=0001703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3738</Characters>
  <CharactersWithSpaces>4380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