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08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Vincent Loic A</w:t>
              </w:r>
            </w:hyperlink>
          </w:p>
        </w:tc>
        <w:tc>
          <w:tcPr>
            <w:tcW w:w="1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line="18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Korro Bio,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KRRO</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080" w:type="dxa"/>
            <w:vAlign w:val="bottom"/>
            <w:gridSpan w:val="3"/>
            <w:vMerge w:val="continue"/>
          </w:tcPr>
          <w:p>
            <w:pPr>
              <w:spacing w:after="0"/>
              <w:rPr>
                <w:sz w:val="5"/>
                <w:szCs w:val="5"/>
                <w:color w:val="auto"/>
              </w:rPr>
            </w:pPr>
          </w:p>
        </w:tc>
        <w:tc>
          <w:tcPr>
            <w:tcW w:w="15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300" w:type="dxa"/>
            <w:vAlign w:val="bottom"/>
            <w:tcBorders>
              <w:top w:val="single" w:sz="8" w:color="0000EE"/>
            </w:tcBorders>
          </w:tcPr>
          <w:p>
            <w:pPr>
              <w:spacing w:after="0"/>
              <w:rPr>
                <w:sz w:val="5"/>
                <w:szCs w:val="5"/>
                <w:color w:val="auto"/>
              </w:rPr>
            </w:pPr>
          </w:p>
        </w:tc>
        <w:tc>
          <w:tcPr>
            <w:tcW w:w="2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780" w:type="dxa"/>
            <w:vAlign w:val="bottom"/>
            <w:tcBorders>
              <w:top w:val="single" w:sz="8" w:color="0000EE"/>
              <w:bottom w:val="single" w:sz="8" w:color="9A9A9A"/>
            </w:tcBorders>
          </w:tcPr>
          <w:p>
            <w:pPr>
              <w:spacing w:after="0"/>
              <w:rPr>
                <w:sz w:val="16"/>
                <w:szCs w:val="16"/>
                <w:color w:val="auto"/>
              </w:rPr>
            </w:pPr>
          </w:p>
        </w:tc>
        <w:tc>
          <w:tcPr>
            <w:tcW w:w="540" w:type="dxa"/>
            <w:vAlign w:val="bottom"/>
            <w:tcBorders>
              <w:top w:val="single" w:sz="8" w:color="0000EE"/>
              <w:bottom w:val="single" w:sz="8" w:color="9A9A9A"/>
            </w:tcBorders>
          </w:tcPr>
          <w:p>
            <w:pPr>
              <w:spacing w:after="0"/>
              <w:rPr>
                <w:sz w:val="16"/>
                <w:szCs w:val="16"/>
                <w:color w:val="auto"/>
              </w:rPr>
            </w:pPr>
          </w:p>
        </w:tc>
        <w:tc>
          <w:tcPr>
            <w:tcW w:w="760" w:type="dxa"/>
            <w:vAlign w:val="bottom"/>
            <w:tcBorders>
              <w:bottom w:val="single" w:sz="8" w:color="9A9A9A"/>
            </w:tcBorders>
          </w:tcPr>
          <w:p>
            <w:pPr>
              <w:spacing w:after="0"/>
              <w:rPr>
                <w:sz w:val="16"/>
                <w:szCs w:val="16"/>
                <w:color w:val="auto"/>
              </w:rPr>
            </w:pPr>
          </w:p>
        </w:tc>
        <w:tc>
          <w:tcPr>
            <w:tcW w:w="156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7"/>
        </w:trPr>
        <w:tc>
          <w:tcPr>
            <w:tcW w:w="40" w:type="dxa"/>
            <w:vAlign w:val="bottom"/>
          </w:tcPr>
          <w:p>
            <w:pPr>
              <w:spacing w:after="0"/>
              <w:rPr>
                <w:sz w:val="4"/>
                <w:szCs w:val="4"/>
                <w:color w:val="auto"/>
              </w:rPr>
            </w:pPr>
          </w:p>
        </w:tc>
        <w:tc>
          <w:tcPr>
            <w:tcW w:w="780" w:type="dxa"/>
            <w:vAlign w:val="bottom"/>
            <w:tcBorders>
              <w:top w:val="single" w:sz="8" w:color="EEEEEE"/>
            </w:tcBorders>
          </w:tcPr>
          <w:p>
            <w:pPr>
              <w:spacing w:after="0"/>
              <w:rPr>
                <w:sz w:val="4"/>
                <w:szCs w:val="4"/>
                <w:color w:val="auto"/>
              </w:rPr>
            </w:pPr>
          </w:p>
        </w:tc>
        <w:tc>
          <w:tcPr>
            <w:tcW w:w="540" w:type="dxa"/>
            <w:vAlign w:val="bottom"/>
            <w:tcBorders>
              <w:top w:val="single" w:sz="8" w:color="EEEEEE"/>
            </w:tcBorders>
          </w:tcPr>
          <w:p>
            <w:pPr>
              <w:spacing w:after="0"/>
              <w:rPr>
                <w:sz w:val="4"/>
                <w:szCs w:val="4"/>
                <w:color w:val="auto"/>
              </w:rPr>
            </w:pPr>
          </w:p>
        </w:tc>
        <w:tc>
          <w:tcPr>
            <w:tcW w:w="760" w:type="dxa"/>
            <w:vAlign w:val="bottom"/>
            <w:tcBorders>
              <w:top w:val="single" w:sz="8" w:color="EEEEEE"/>
            </w:tcBorders>
          </w:tcPr>
          <w:p>
            <w:pPr>
              <w:spacing w:after="0"/>
              <w:rPr>
                <w:sz w:val="4"/>
                <w:szCs w:val="4"/>
                <w:color w:val="auto"/>
              </w:rPr>
            </w:pPr>
          </w:p>
        </w:tc>
        <w:tc>
          <w:tcPr>
            <w:tcW w:w="1560" w:type="dxa"/>
            <w:vAlign w:val="bottom"/>
            <w:tcBorders>
              <w:top w:val="single" w:sz="8" w:color="EEEEEE"/>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tcPr>
          <w:p>
            <w:pPr>
              <w:spacing w:after="0"/>
              <w:rPr>
                <w:sz w:val="4"/>
                <w:szCs w:val="4"/>
                <w:color w:val="auto"/>
              </w:rPr>
            </w:pPr>
          </w:p>
        </w:tc>
        <w:tc>
          <w:tcPr>
            <w:tcW w:w="244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(Last)</w:t>
            </w:r>
          </w:p>
        </w:tc>
        <w:tc>
          <w:tcPr>
            <w:tcW w:w="1300" w:type="dxa"/>
            <w:vAlign w:val="bottom"/>
            <w:gridSpan w:val="2"/>
          </w:tcPr>
          <w:p>
            <w:pPr>
              <w:ind w:left="440"/>
              <w:spacing w:after="0"/>
              <w:rPr>
                <w:sz w:val="20"/>
                <w:szCs w:val="20"/>
                <w:color w:val="auto"/>
              </w:rPr>
            </w:pPr>
            <w:r>
              <w:rPr>
                <w:rFonts w:ascii="Arial" w:cs="Arial" w:eastAsia="Arial" w:hAnsi="Arial"/>
                <w:sz w:val="13"/>
                <w:szCs w:val="13"/>
                <w:color w:val="auto"/>
              </w:rPr>
              <w:t>(First)</w:t>
            </w:r>
          </w:p>
        </w:tc>
        <w:tc>
          <w:tcPr>
            <w:tcW w:w="1560" w:type="dxa"/>
            <w:vAlign w:val="bottom"/>
          </w:tcPr>
          <w:p>
            <w:pPr>
              <w:ind w:left="36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208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KORRO BIO, INC.</w:t>
            </w:r>
          </w:p>
        </w:tc>
        <w:tc>
          <w:tcPr>
            <w:tcW w:w="1560" w:type="dxa"/>
            <w:vAlign w:val="bottom"/>
          </w:tcPr>
          <w:p>
            <w:pPr>
              <w:spacing w:after="0"/>
              <w:rPr>
                <w:sz w:val="19"/>
                <w:szCs w:val="19"/>
                <w:color w:val="auto"/>
              </w:rPr>
            </w:pPr>
          </w:p>
        </w:tc>
        <w:tc>
          <w:tcPr>
            <w:tcW w:w="146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06/16/2026</w:t>
            </w:r>
          </w:p>
        </w:tc>
        <w:tc>
          <w:tcPr>
            <w:tcW w:w="2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40" w:type="dxa"/>
            <w:vAlign w:val="bottom"/>
          </w:tcPr>
          <w:p>
            <w:pPr>
              <w:spacing w:after="0"/>
              <w:rPr>
                <w:sz w:val="8"/>
                <w:szCs w:val="8"/>
                <w:color w:val="auto"/>
              </w:rPr>
            </w:pPr>
          </w:p>
        </w:tc>
        <w:tc>
          <w:tcPr>
            <w:tcW w:w="2080" w:type="dxa"/>
            <w:vAlign w:val="bottom"/>
            <w:gridSpan w:val="3"/>
            <w:vMerge w:val="continue"/>
          </w:tcPr>
          <w:p>
            <w:pPr>
              <w:spacing w:after="0"/>
              <w:rPr>
                <w:sz w:val="8"/>
                <w:szCs w:val="8"/>
                <w:color w:val="auto"/>
              </w:rPr>
            </w:pPr>
          </w:p>
        </w:tc>
        <w:tc>
          <w:tcPr>
            <w:tcW w:w="15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300" w:type="dxa"/>
            <w:vAlign w:val="bottom"/>
          </w:tcPr>
          <w:p>
            <w:pPr>
              <w:spacing w:after="0"/>
              <w:rPr>
                <w:sz w:val="8"/>
                <w:szCs w:val="8"/>
                <w:color w:val="auto"/>
              </w:rPr>
            </w:pPr>
          </w:p>
        </w:tc>
        <w:tc>
          <w:tcPr>
            <w:tcW w:w="24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60 FIRST STREET, 2ND FLOOR, SUITE 250</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0"/>
          <w:szCs w:val="20"/>
          <w:color w:val="auto"/>
        </w:rPr>
      </w:pPr>
    </w:p>
    <w:p>
      <w:pPr>
        <w:ind w:left="765"/>
        <w:spacing w:after="0"/>
        <w:rPr>
          <w:sz w:val="20"/>
          <w:szCs w:val="20"/>
          <w:color w:val="auto"/>
        </w:rPr>
      </w:pPr>
      <w:r>
        <w:rPr>
          <w:rFonts w:ascii="Times New Roman" w:cs="Times New Roman" w:eastAsia="Times New Roman" w:hAnsi="Times New Roman"/>
          <w:sz w:val="17"/>
          <w:szCs w:val="17"/>
          <w:color w:val="0000FF"/>
        </w:rPr>
        <w:t>Chief Scientific Officer</w:t>
      </w:r>
    </w:p>
    <w:p>
      <w:pPr>
        <w:spacing w:after="0" w:line="422" w:lineRule="exact"/>
        <w:rPr>
          <w:sz w:val="20"/>
          <w:szCs w:val="20"/>
          <w:color w:val="auto"/>
        </w:rPr>
      </w:pPr>
    </w:p>
    <w:p>
      <w:pPr>
        <w:sectPr>
          <w:pgSz w:w="11900" w:h="16838" w:orient="portrait"/>
          <w:cols w:equalWidth="0" w:num="2">
            <w:col w:w="7660" w:space="75"/>
            <w:col w:w="3345"/>
          </w:cols>
          <w:pgMar w:left="460" w:top="219" w:right="359" w:bottom="1440" w:gutter="0" w:footer="0" w:header="0"/>
          <w:type w:val="continuous"/>
        </w:sectPr>
      </w:pPr>
    </w:p>
    <w:tbl>
      <w:tblPr>
        <w:tblLayout w:type="fixed"/>
        <w:tblInd w:w="80" w:type="dxa"/>
        <w:tblCellMar>
          <w:top w:w="0" w:type="dxa"/>
          <w:left w:w="0" w:type="dxa"/>
          <w:bottom w:w="0" w:type="dxa"/>
          <w:right w:w="0" w:type="dxa"/>
        </w:tblCellMar>
      </w:tblPr>
      <w:tr>
        <w:trPr>
          <w:trHeight w:val="163"/>
        </w:trPr>
        <w:tc>
          <w:tcPr>
            <w:tcW w:w="40" w:type="dxa"/>
            <w:vAlign w:val="bottom"/>
          </w:tcPr>
          <w:p>
            <w:pPr>
              <w:spacing w:after="0"/>
              <w:rPr>
                <w:sz w:val="14"/>
                <w:szCs w:val="14"/>
                <w:color w:val="auto"/>
              </w:rPr>
            </w:pPr>
          </w:p>
        </w:tc>
        <w:tc>
          <w:tcPr>
            <w:tcW w:w="1980" w:type="dxa"/>
            <w:vAlign w:val="bottom"/>
            <w:tcBorders>
              <w:bottom w:val="single" w:sz="8" w:color="9A9A9A"/>
            </w:tcBorders>
          </w:tcPr>
          <w:p>
            <w:pPr>
              <w:spacing w:after="0"/>
              <w:rPr>
                <w:sz w:val="14"/>
                <w:szCs w:val="14"/>
                <w:color w:val="auto"/>
              </w:rPr>
            </w:pPr>
          </w:p>
        </w:tc>
        <w:tc>
          <w:tcPr>
            <w:tcW w:w="1660" w:type="dxa"/>
            <w:vAlign w:val="bottom"/>
            <w:tcBorders>
              <w:bottom w:val="single" w:sz="8" w:color="9A9A9A"/>
            </w:tcBorders>
          </w:tcPr>
          <w:p>
            <w:pPr>
              <w:spacing w:after="0"/>
              <w:rPr>
                <w:sz w:val="14"/>
                <w:szCs w:val="14"/>
                <w:color w:val="auto"/>
              </w:rPr>
            </w:pPr>
          </w:p>
        </w:tc>
        <w:tc>
          <w:tcPr>
            <w:tcW w:w="3760" w:type="dxa"/>
            <w:vAlign w:val="bottom"/>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2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166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3280" w:type="dxa"/>
            <w:vAlign w:val="bottom"/>
          </w:tcPr>
          <w:p>
            <w:pPr>
              <w:ind w:left="220"/>
              <w:spacing w:after="0"/>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93"/>
        </w:trPr>
        <w:tc>
          <w:tcPr>
            <w:tcW w:w="2020" w:type="dxa"/>
            <w:vAlign w:val="bottom"/>
            <w:gridSpan w:val="2"/>
            <w:vMerge w:val="continue"/>
          </w:tcPr>
          <w:p>
            <w:pPr>
              <w:spacing w:after="0"/>
              <w:rPr>
                <w:sz w:val="8"/>
                <w:szCs w:val="8"/>
                <w:color w:val="auto"/>
              </w:rPr>
            </w:pPr>
          </w:p>
        </w:tc>
        <w:tc>
          <w:tcPr>
            <w:tcW w:w="1660" w:type="dxa"/>
            <w:vAlign w:val="bottom"/>
          </w:tcPr>
          <w:p>
            <w:pPr>
              <w:spacing w:after="0"/>
              <w:rPr>
                <w:sz w:val="8"/>
                <w:szCs w:val="8"/>
                <w:color w:val="auto"/>
              </w:rPr>
            </w:pPr>
          </w:p>
        </w:tc>
        <w:tc>
          <w:tcPr>
            <w:tcW w:w="3760" w:type="dxa"/>
            <w:vAlign w:val="bottom"/>
          </w:tcPr>
          <w:p>
            <w:pPr>
              <w:spacing w:after="0"/>
              <w:rPr>
                <w:sz w:val="8"/>
                <w:szCs w:val="8"/>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19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CAMBRIDGE  MA</w:t>
            </w:r>
          </w:p>
        </w:tc>
        <w:tc>
          <w:tcPr>
            <w:tcW w:w="1660" w:type="dxa"/>
            <w:vAlign w:val="bottom"/>
            <w:vMerge w:val="restart"/>
          </w:tcPr>
          <w:p>
            <w:pPr>
              <w:jc w:val="right"/>
              <w:ind w:right="673"/>
              <w:spacing w:after="0"/>
              <w:rPr>
                <w:sz w:val="20"/>
                <w:szCs w:val="20"/>
                <w:color w:val="auto"/>
              </w:rPr>
            </w:pPr>
            <w:r>
              <w:rPr>
                <w:rFonts w:ascii="Times New Roman" w:cs="Times New Roman" w:eastAsia="Times New Roman" w:hAnsi="Times New Roman"/>
                <w:sz w:val="17"/>
                <w:szCs w:val="17"/>
                <w:color w:val="0000FF"/>
              </w:rPr>
              <w:t>02141</w:t>
            </w:r>
          </w:p>
        </w:tc>
        <w:tc>
          <w:tcPr>
            <w:tcW w:w="3760" w:type="dxa"/>
            <w:vAlign w:val="bottom"/>
          </w:tcPr>
          <w:p>
            <w:pPr>
              <w:spacing w:after="0"/>
              <w:rPr>
                <w:sz w:val="10"/>
                <w:szCs w:val="10"/>
                <w:color w:val="auto"/>
              </w:rPr>
            </w:pPr>
          </w:p>
        </w:tc>
        <w:tc>
          <w:tcPr>
            <w:tcW w:w="32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40" w:type="dxa"/>
            <w:vAlign w:val="bottom"/>
          </w:tcPr>
          <w:p>
            <w:pPr>
              <w:spacing w:after="0"/>
              <w:rPr>
                <w:sz w:val="10"/>
                <w:szCs w:val="10"/>
                <w:color w:val="auto"/>
              </w:rPr>
            </w:pPr>
          </w:p>
        </w:tc>
        <w:tc>
          <w:tcPr>
            <w:tcW w:w="1980" w:type="dxa"/>
            <w:vAlign w:val="bottom"/>
            <w:vMerge w:val="continue"/>
          </w:tcPr>
          <w:p>
            <w:pPr>
              <w:spacing w:after="0"/>
              <w:rPr>
                <w:sz w:val="10"/>
                <w:szCs w:val="10"/>
                <w:color w:val="auto"/>
              </w:rPr>
            </w:pPr>
          </w:p>
        </w:tc>
        <w:tc>
          <w:tcPr>
            <w:tcW w:w="1660" w:type="dxa"/>
            <w:vAlign w:val="bottom"/>
            <w:vMerge w:val="continue"/>
          </w:tcPr>
          <w:p>
            <w:pPr>
              <w:spacing w:after="0"/>
              <w:rPr>
                <w:sz w:val="10"/>
                <w:szCs w:val="10"/>
                <w:color w:val="auto"/>
              </w:rPr>
            </w:pPr>
          </w:p>
        </w:tc>
        <w:tc>
          <w:tcPr>
            <w:tcW w:w="3760" w:type="dxa"/>
            <w:vAlign w:val="bottom"/>
          </w:tcPr>
          <w:p>
            <w:pPr>
              <w:spacing w:after="0"/>
              <w:rPr>
                <w:sz w:val="10"/>
                <w:szCs w:val="10"/>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40" w:type="dxa"/>
            <w:vAlign w:val="bottom"/>
          </w:tcPr>
          <w:p>
            <w:pPr>
              <w:spacing w:after="0"/>
              <w:rPr>
                <w:sz w:val="7"/>
                <w:szCs w:val="7"/>
                <w:color w:val="auto"/>
              </w:rPr>
            </w:pPr>
          </w:p>
        </w:tc>
        <w:tc>
          <w:tcPr>
            <w:tcW w:w="1980" w:type="dxa"/>
            <w:vAlign w:val="bottom"/>
          </w:tcPr>
          <w:p>
            <w:pPr>
              <w:spacing w:after="0"/>
              <w:rPr>
                <w:sz w:val="7"/>
                <w:szCs w:val="7"/>
                <w:color w:val="auto"/>
              </w:rPr>
            </w:pPr>
          </w:p>
        </w:tc>
        <w:tc>
          <w:tcPr>
            <w:tcW w:w="1660" w:type="dxa"/>
            <w:vAlign w:val="bottom"/>
          </w:tcPr>
          <w:p>
            <w:pPr>
              <w:spacing w:after="0"/>
              <w:rPr>
                <w:sz w:val="7"/>
                <w:szCs w:val="7"/>
                <w:color w:val="auto"/>
              </w:rPr>
            </w:pPr>
          </w:p>
        </w:tc>
        <w:tc>
          <w:tcPr>
            <w:tcW w:w="3760" w:type="dxa"/>
            <w:vAlign w:val="bottom"/>
          </w:tcPr>
          <w:p>
            <w:pPr>
              <w:spacing w:after="0"/>
              <w:rPr>
                <w:sz w:val="7"/>
                <w:szCs w:val="7"/>
                <w:color w:val="auto"/>
              </w:rPr>
            </w:pPr>
          </w:p>
        </w:tc>
        <w:tc>
          <w:tcPr>
            <w:tcW w:w="3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1980" w:type="dxa"/>
            <w:vAlign w:val="bottom"/>
            <w:tcBorders>
              <w:bottom w:val="single" w:sz="8" w:color="9A9A9A"/>
            </w:tcBorders>
          </w:tcPr>
          <w:p>
            <w:pPr>
              <w:spacing w:after="0"/>
              <w:rPr>
                <w:sz w:val="6"/>
                <w:szCs w:val="6"/>
                <w:color w:val="auto"/>
              </w:rPr>
            </w:pPr>
          </w:p>
        </w:tc>
        <w:tc>
          <w:tcPr>
            <w:tcW w:w="1660" w:type="dxa"/>
            <w:vAlign w:val="bottom"/>
            <w:tcBorders>
              <w:bottom w:val="single" w:sz="8" w:color="9A9A9A"/>
            </w:tcBorders>
          </w:tcPr>
          <w:p>
            <w:pPr>
              <w:spacing w:after="0"/>
              <w:rPr>
                <w:sz w:val="6"/>
                <w:szCs w:val="6"/>
                <w:color w:val="auto"/>
              </w:rPr>
            </w:pPr>
          </w:p>
        </w:tc>
        <w:tc>
          <w:tcPr>
            <w:tcW w:w="3760" w:type="dxa"/>
            <w:vAlign w:val="bottom"/>
          </w:tcPr>
          <w:p>
            <w:pPr>
              <w:spacing w:after="0"/>
              <w:rPr>
                <w:sz w:val="6"/>
                <w:szCs w:val="6"/>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82"/>
        </w:trPr>
        <w:tc>
          <w:tcPr>
            <w:tcW w:w="40" w:type="dxa"/>
            <w:vAlign w:val="bottom"/>
          </w:tcPr>
          <w:p>
            <w:pPr>
              <w:spacing w:after="0"/>
              <w:rPr>
                <w:sz w:val="7"/>
                <w:szCs w:val="7"/>
                <w:color w:val="auto"/>
              </w:rPr>
            </w:pPr>
          </w:p>
        </w:tc>
        <w:tc>
          <w:tcPr>
            <w:tcW w:w="1980" w:type="dxa"/>
            <w:vAlign w:val="bottom"/>
          </w:tcPr>
          <w:p>
            <w:pPr>
              <w:spacing w:after="0"/>
              <w:rPr>
                <w:sz w:val="7"/>
                <w:szCs w:val="7"/>
                <w:color w:val="auto"/>
              </w:rPr>
            </w:pPr>
          </w:p>
        </w:tc>
        <w:tc>
          <w:tcPr>
            <w:tcW w:w="1660" w:type="dxa"/>
            <w:vAlign w:val="bottom"/>
          </w:tcPr>
          <w:p>
            <w:pPr>
              <w:spacing w:after="0"/>
              <w:rPr>
                <w:sz w:val="7"/>
                <w:szCs w:val="7"/>
                <w:color w:val="auto"/>
              </w:rPr>
            </w:pPr>
          </w:p>
        </w:tc>
        <w:tc>
          <w:tcPr>
            <w:tcW w:w="3760" w:type="dxa"/>
            <w:vAlign w:val="bottom"/>
          </w:tcPr>
          <w:p>
            <w:pPr>
              <w:spacing w:after="0"/>
              <w:rPr>
                <w:sz w:val="7"/>
                <w:szCs w:val="7"/>
                <w:color w:val="auto"/>
              </w:rPr>
            </w:pPr>
          </w:p>
        </w:tc>
        <w:tc>
          <w:tcPr>
            <w:tcW w:w="3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52" w:lineRule="exact"/>
        <w:rPr>
          <w:sz w:val="20"/>
          <w:szCs w:val="20"/>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95"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(A) or</w:t>
            </w:r>
          </w:p>
        </w:tc>
        <w:tc>
          <w:tcPr>
            <w:tcW w:w="64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560"/>
              <w:spacing w:after="0"/>
              <w:rPr>
                <w:sz w:val="20"/>
                <w:szCs w:val="20"/>
                <w:color w:val="auto"/>
              </w:rPr>
            </w:pPr>
            <w:r>
              <w:rPr>
                <w:rFonts w:ascii="Times New Roman" w:cs="Times New Roman" w:eastAsia="Times New Roman" w:hAnsi="Times New Roman"/>
                <w:sz w:val="17"/>
                <w:szCs w:val="17"/>
                <w:color w:val="0000FF"/>
              </w:rPr>
              <w:t>06/16/2026</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3,418</w:t>
            </w:r>
          </w:p>
        </w:tc>
        <w:tc>
          <w:tcPr>
            <w:tcW w:w="4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10.83</w:t>
            </w:r>
            <w:r>
              <w:rPr>
                <w:rFonts w:ascii="Times New Roman" w:cs="Times New Roman" w:eastAsia="Times New Roman" w:hAnsi="Times New Roman"/>
                <w:sz w:val="22"/>
                <w:szCs w:val="22"/>
                <w:color w:val="008000"/>
                <w:vertAlign w:val="superscript"/>
              </w:rPr>
              <w:t>(2)</w:t>
            </w:r>
          </w:p>
        </w:tc>
        <w:tc>
          <w:tcPr>
            <w:tcW w:w="1200" w:type="dxa"/>
            <w:vAlign w:val="bottom"/>
            <w:tcBorders>
              <w:bottom w:val="single" w:sz="8" w:color="2C2C2C"/>
            </w:tcBorders>
            <w:gridSpan w:val="2"/>
          </w:tcPr>
          <w:p>
            <w:pPr>
              <w:ind w:left="260"/>
              <w:spacing w:after="0"/>
              <w:rPr>
                <w:sz w:val="20"/>
                <w:szCs w:val="20"/>
                <w:color w:val="auto"/>
              </w:rPr>
            </w:pPr>
            <w:r>
              <w:rPr>
                <w:rFonts w:ascii="Times New Roman" w:cs="Times New Roman" w:eastAsia="Times New Roman" w:hAnsi="Times New Roman"/>
                <w:sz w:val="17"/>
                <w:szCs w:val="17"/>
                <w:color w:val="0000FF"/>
              </w:rPr>
              <w:t>18,297</w:t>
            </w:r>
            <w:r>
              <w:rPr>
                <w:rFonts w:ascii="Times New Roman" w:cs="Times New Roman" w:eastAsia="Times New Roman" w:hAnsi="Times New Roman"/>
                <w:sz w:val="22"/>
                <w:szCs w:val="22"/>
                <w:color w:val="008000"/>
                <w:vertAlign w:val="superscript"/>
              </w:rPr>
              <w:t>(3)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3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mandatory sale of shares of common stock solely to satisfy tax withholding obligations incurred upon vesting and settlement of a restricted stock unit (RSU) granted under the Issuer's 2023 Stock Option and Incentive Plan (the 2023 Plan).</w:t>
      </w:r>
    </w:p>
    <w:p>
      <w:pPr>
        <w:spacing w:after="0" w:line="7" w:lineRule="exact"/>
        <w:rPr>
          <w:rFonts w:ascii="Times New Roman" w:cs="Times New Roman" w:eastAsia="Times New Roman" w:hAnsi="Times New Roman"/>
          <w:sz w:val="13"/>
          <w:szCs w:val="13"/>
          <w:color w:val="008000"/>
        </w:rPr>
      </w:pPr>
    </w:p>
    <w:p>
      <w:pPr>
        <w:ind w:left="40" w:right="2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weighted-average price. The shares were sold in multiple transactions at prices ranging from $10.58 to $11.35, inclusive. Full information regarding the number of shares sold at each separate price can be provided to the issuer, any security holder of the issuer or the staff of the Securities and Exchange Commission upon request.</w:t>
      </w:r>
    </w:p>
    <w:p>
      <w:pPr>
        <w:spacing w:after="0" w:line="7" w:lineRule="exact"/>
        <w:rPr>
          <w:rFonts w:ascii="Times New Roman" w:cs="Times New Roman" w:eastAsia="Times New Roman" w:hAnsi="Times New Roman"/>
          <w:sz w:val="13"/>
          <w:szCs w:val="13"/>
          <w:color w:val="008000"/>
        </w:rPr>
      </w:pPr>
    </w:p>
    <w:p>
      <w:pPr>
        <w:ind w:left="40" w:right="320" w:firstLine="7"/>
        <w:spacing w:after="0" w:line="256"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10,858 shares of common stock issuable upon settlement of a RSU granted under the 2023 Plan that will vest on December 15, 2026 subject to the reporting person maintaining a continuous Service Relationship (as defined in the 2023 Plan) through such date.</w:t>
      </w:r>
    </w:p>
    <w:p>
      <w:pPr>
        <w:ind w:left="6580"/>
        <w:spacing w:after="0" w:line="229" w:lineRule="auto"/>
        <w:tabs>
          <w:tab w:leader="none" w:pos="8760" w:val="left"/>
        </w:tabs>
        <w:rPr>
          <w:sz w:val="20"/>
          <w:szCs w:val="20"/>
          <w:color w:val="auto"/>
        </w:rPr>
      </w:pPr>
      <w:r>
        <w:rPr>
          <w:rFonts w:ascii="Times New Roman" w:cs="Times New Roman" w:eastAsia="Times New Roman" w:hAnsi="Times New Roman"/>
          <w:sz w:val="17"/>
          <w:szCs w:val="17"/>
          <w:color w:val="0000FF"/>
        </w:rPr>
        <w:t>/s/ Jeffrey Cerio, Attorney-in-</w:t>
      </w:r>
      <w:r>
        <w:rPr>
          <w:sz w:val="20"/>
          <w:szCs w:val="20"/>
          <w:color w:val="auto"/>
        </w:rPr>
        <w:tab/>
      </w:r>
      <w:r>
        <w:rPr>
          <w:rFonts w:ascii="Times New Roman" w:cs="Times New Roman" w:eastAsia="Times New Roman" w:hAnsi="Times New Roman"/>
          <w:sz w:val="26"/>
          <w:szCs w:val="26"/>
          <w:color w:val="0000FF"/>
          <w:vertAlign w:val="subscript"/>
        </w:rPr>
        <w:t>06/17/2026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-27940</wp:posOffset>
            </wp:positionV>
            <wp:extent cx="13112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1127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6446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6446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2063400" TargetMode="External"/><Relationship Id="rId14" Type="http://schemas.openxmlformats.org/officeDocument/2006/relationships/hyperlink" Target="http://www.sec.gov/cgi-bin/browse-edgar?action=getcompany&amp;CIK=000170364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2026-06-17T15:13:46Z</dcterms:created>
  <dcterms:modified xsi:type="dcterms:W3CDTF">2026-06-17T15:13:46Z</dcterms:modified>
</cp:coreProperties>
</file>