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458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New Enterprise Associates 17, L.P.</w:t>
              </w:r>
            </w:hyperlink>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9"/>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Korro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KRRO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60" w:type="dxa"/>
            <w:vAlign w:val="bottom"/>
            <w:gridSpan w:val="6"/>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860" w:type="dxa"/>
            <w:vAlign w:val="bottom"/>
            <w:tcBorders>
              <w:bottom w:val="single" w:sz="8" w:color="0000EE"/>
            </w:tcBorders>
            <w:gridSpan w:val="6"/>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00" w:type="dxa"/>
            <w:vAlign w:val="bottom"/>
            <w:gridSpan w:val="4"/>
          </w:tcPr>
          <w:p>
            <w:pPr>
              <w:spacing w:after="0"/>
              <w:rPr>
                <w:sz w:val="6"/>
                <w:szCs w:val="6"/>
                <w:color w:val="auto"/>
              </w:rPr>
            </w:pPr>
          </w:p>
        </w:tc>
        <w:tc>
          <w:tcPr>
            <w:tcW w:w="1060" w:type="dxa"/>
            <w:vAlign w:val="bottom"/>
            <w:gridSpan w:val="2"/>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10"/>
          </w:tcPr>
          <w:p>
            <w:pPr>
              <w:ind w:left="80"/>
              <w:spacing w:after="0"/>
              <w:rPr>
                <w:sz w:val="20"/>
                <w:szCs w:val="20"/>
                <w:color w:val="auto"/>
              </w:rPr>
            </w:pPr>
            <w:r>
              <w:rPr>
                <w:rFonts w:ascii="Arial" w:cs="Arial" w:eastAsia="Arial" w:hAnsi="Arial"/>
                <w:sz w:val="13"/>
                <w:szCs w:val="13"/>
                <w:color w:val="auto"/>
                <w:w w:val="98"/>
              </w:rPr>
              <w:t>3. Date of Earliest Transaction (Month/Day/Year)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1954 GREENSPRING DRIVE</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7"/>
          </w:tcPr>
          <w:p>
            <w:pPr>
              <w:ind w:left="320"/>
              <w:spacing w:after="0"/>
              <w:rPr>
                <w:sz w:val="20"/>
                <w:szCs w:val="20"/>
                <w:color w:val="auto"/>
              </w:rPr>
            </w:pPr>
            <w:r>
              <w:rPr>
                <w:rFonts w:ascii="Times New Roman" w:cs="Times New Roman" w:eastAsia="Times New Roman" w:hAnsi="Times New Roman"/>
                <w:sz w:val="17"/>
                <w:szCs w:val="17"/>
                <w:color w:val="0000FF"/>
              </w:rPr>
              <w:t>03/10/2026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continue"/>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600</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2"/>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0000FF"/>
              </w:rPr>
              <w:t>TIMONIUM</w:t>
            </w:r>
          </w:p>
        </w:tc>
        <w:tc>
          <w:tcPr>
            <w:tcW w:w="12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0000FF"/>
              </w:rPr>
              <w:t>MD</w:t>
            </w:r>
          </w:p>
        </w:tc>
        <w:tc>
          <w:tcPr>
            <w:tcW w:w="44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w w:val="94"/>
              </w:rPr>
              <w:t>21093</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820" w:type="dxa"/>
            <w:vAlign w:val="bottom"/>
            <w:tcBorders>
              <w:top w:val="single" w:sz="8" w:color="2C2C2C"/>
            </w:tcBorders>
            <w:gridSpan w:val="22"/>
          </w:tcPr>
          <w:p>
            <w:pPr>
              <w:ind w:left="4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4"/>
                <w:szCs w:val="14"/>
                <w:color w:val="auto"/>
              </w:rPr>
            </w:pPr>
          </w:p>
        </w:tc>
        <w:tc>
          <w:tcPr>
            <w:tcW w:w="1400" w:type="dxa"/>
            <w:vAlign w:val="bottom"/>
            <w:gridSpan w:val="7"/>
          </w:tcPr>
          <w:p>
            <w:pPr>
              <w:ind w:left="3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ind w:left="3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gridSpan w:val="7"/>
          </w:tcPr>
          <w:p>
            <w:pPr>
              <w:ind w:left="3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5"/>
          </w:tcPr>
          <w:p>
            <w:pPr>
              <w:ind w:left="2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ind w:left="880"/>
              <w:spacing w:after="0"/>
              <w:rPr>
                <w:sz w:val="20"/>
                <w:szCs w:val="20"/>
                <w:color w:val="auto"/>
              </w:rPr>
            </w:pPr>
            <w:r>
              <w:rPr>
                <w:rFonts w:ascii="Times New Roman" w:cs="Times New Roman" w:eastAsia="Times New Roman" w:hAnsi="Times New Roman"/>
                <w:sz w:val="17"/>
                <w:szCs w:val="17"/>
                <w:color w:val="0000FF"/>
              </w:rPr>
              <w:t>03/10/2026</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97"/>
              </w:rPr>
              <w:t>207,100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11.11</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1,297,893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80" w:type="dxa"/>
            <w:vAlign w:val="bottom"/>
            <w:gridSpan w:val="18"/>
          </w:tcPr>
          <w:p>
            <w:pPr>
              <w:ind w:lef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6"/>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242,945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Funded</w:t>
            </w:r>
          </w:p>
        </w:tc>
        <w:tc>
          <w:tcPr>
            <w:tcW w:w="62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40" w:type="dxa"/>
            <w:vAlign w:val="bottom"/>
          </w:tcPr>
          <w:p>
            <w:pPr>
              <w:spacing w:after="0"/>
              <w:rPr>
                <w:sz w:val="11"/>
                <w:szCs w:val="11"/>
                <w:color w:val="auto"/>
              </w:rPr>
            </w:pPr>
          </w:p>
        </w:tc>
        <w:tc>
          <w:tcPr>
            <w:tcW w:w="108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03/10/2026</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6"/>
            <w:vMerge w:val="continue"/>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242,945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11.109</w:t>
            </w:r>
          </w:p>
        </w:tc>
        <w:tc>
          <w:tcPr>
            <w:tcW w:w="84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242,945</w:t>
            </w: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4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New Enterprise Associates 17, L.P.</w:t>
              </w:r>
            </w:hyperlink>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1954 GREENSPRING DRIVE</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600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TIMONIUM</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MD</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21093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4"/>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NEA Partners 17, L.P.</w:t>
              </w:r>
            </w:hyperlink>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1954 GREENSPRING DRIVE</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600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TIMONIUM</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MD</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21093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-5107305</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NEA 17 GP, LLC</w:t>
        </w:r>
      </w:hyperlink>
    </w:p>
    <w:p>
      <w:pPr>
        <w:sectPr>
          <w:pgSz w:w="11900" w:h="16838" w:orient="portrait"/>
          <w:cols w:equalWidth="0" w:num="1">
            <w:col w:w="11080"/>
          </w:cols>
          <w:pgMar w:left="460" w:top="216" w:right="359" w:bottom="0" w:gutter="0" w:footer="0" w:header="0"/>
          <w:type w:val="continuous"/>
        </w:sectPr>
      </w:pPr>
    </w:p>
    <w:p>
      <w:pPr>
        <w:spacing w:after="0" w:line="29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1954 GREENSPRING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-115570</wp:posOffset>
            </wp:positionV>
            <wp:extent cx="2806700" cy="107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6700" cy="1071880"/>
                    </a:xfrm>
                    <a:prstGeom prst="rect">
                      <a:avLst/>
                    </a:prstGeom>
                    <a:noFill/>
                  </pic:spPr>
                </pic:pic>
              </a:graphicData>
            </a:graphic>
          </wp:anchor>
        </w:drawing>
      </w:r>
    </w:p>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SUITE 600</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TIMONIUM</w:t>
            </w:r>
          </w:p>
        </w:tc>
        <w:tc>
          <w:tcPr>
            <w:tcW w:w="11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MD</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21093</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20" w:hanging="120"/>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March 10, 2026 pursuant to a Subscription Agreement dated March 9, 2026.</w:t>
      </w:r>
    </w:p>
    <w:p>
      <w:pPr>
        <w:spacing w:after="0" w:line="41" w:lineRule="exact"/>
        <w:rPr>
          <w:rFonts w:ascii="Times New Roman" w:cs="Times New Roman" w:eastAsia="Times New Roman" w:hAnsi="Times New Roman"/>
          <w:sz w:val="13"/>
          <w:szCs w:val="13"/>
          <w:color w:val="008000"/>
        </w:rPr>
      </w:pPr>
    </w:p>
    <w:p>
      <w:pPr>
        <w:spacing w:after="0" w:line="23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New Enterprise Associates 17, L.P. ("NEA 17") and are indirectly held by NEA Partners 17, L.P. ("NEA Partners 17"), the sole general partner of NEA 17, NEA 17 GP, LLC ("NEA 17 GP"), the sole general partner of NEA Partners 17, and the individual managers of NEA 17 GP (NEA Partners 17, NEA 17 GP and the individual managers of NEA 17 GP (collectively, the "Managers") together, the "Indirect Reporting Persons"). The Mangers are Forest Baskett, Ali Behbahani, Carmen Chang, Anthony Florence, Jr., Mohamad Makhzoumi, Edward Mathers, Scott Sandell, Paul Walker and Rick Yang. The Indirect Reporting Persons disclaim beneficial ownership within the meaning of Section 16 of the Securities Exchange Act of 1934, as amended, or otherwise of such portion of the securities held by NEA 17 in which the Indirect Reporting Persons have no pecuniary interest.</w:t>
      </w:r>
    </w:p>
    <w:p>
      <w:pPr>
        <w:spacing w:after="0" w:line="25" w:lineRule="exact"/>
        <w:rPr>
          <w:rFonts w:ascii="Times New Roman" w:cs="Times New Roman" w:eastAsia="Times New Roman" w:hAnsi="Times New Roman"/>
          <w:sz w:val="13"/>
          <w:szCs w:val="13"/>
          <w:color w:val="008000"/>
        </w:rPr>
      </w:pPr>
    </w:p>
    <w:p>
      <w:pPr>
        <w:jc w:val="both"/>
        <w:ind w:right="40"/>
        <w:spacing w:after="0" w:line="238"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are exercisable at any time after their issuance; provided, however, that the Pre-Funded Warrants may not be exercised to the extent such exercise would cause the number of shares of the Issuer's Common Stock owned by the holder (together with its affiliates and certain other related parties) to exceed 9.99% of the total number of shares of the Issuer's Common Stock immediately after giving effect to such exercise, which percentage may be increased or decreased at the option of the holder upon 61 days' prior notice to the Issuer, not to exceed 19.99%.</w:t>
      </w:r>
    </w:p>
    <w:p>
      <w:pPr>
        <w:ind w:left="6560"/>
        <w:spacing w:after="0" w:line="184"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1"/>
          <w:szCs w:val="31"/>
          <w:color w:val="0000FF"/>
          <w:vertAlign w:val="subscript"/>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-26670</wp:posOffset>
            </wp:positionV>
            <wp:extent cx="1325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-21590</wp:posOffset>
            </wp:positionV>
            <wp:extent cx="274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-86360</wp:posOffset>
            </wp:positionV>
            <wp:extent cx="47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80"/>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13" Type="http://schemas.openxmlformats.org/officeDocument/2006/relationships/hyperlink" Target="http://www.sec.gov/cgi-bin/browse-edgar?action=getcompany&amp;CIK=0001768564" TargetMode="External"/><Relationship Id="rId14" Type="http://schemas.openxmlformats.org/officeDocument/2006/relationships/hyperlink" Target="http://www.sec.gov/cgi-bin/browse-edgar?action=getcompany&amp;CIK=0001703647" TargetMode="External"/><Relationship Id="rId15" Type="http://schemas.openxmlformats.org/officeDocument/2006/relationships/hyperlink" Target="http://www.sec.gov/cgi-bin/browse-edgar?action=getcompany&amp;CIK=0001796820" TargetMode="External"/><Relationship Id="rId17" Type="http://schemas.openxmlformats.org/officeDocument/2006/relationships/hyperlink" Target="http://www.sec.gov/cgi-bin/browse-edgar?action=getcompany&amp;CIK=0001796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2026-03-12T19:16:55Z</dcterms:created>
  <dcterms:modified xsi:type="dcterms:W3CDTF">2026-03-12T19:16:55Z</dcterms:modified>
</cp:coreProperties>
</file>