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Chappell Todd</w:t>
              </w:r>
            </w:hyperlink>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Korro Bio,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KRRO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Borders>
              <w:top w:val="single" w:sz="8" w:color="0000EE"/>
            </w:tcBorders>
          </w:tcPr>
          <w:p>
            <w:pPr>
              <w:spacing w:after="0"/>
              <w:rPr>
                <w:sz w:val="5"/>
                <w:szCs w:val="5"/>
                <w:color w:val="auto"/>
              </w:rPr>
            </w:pPr>
          </w:p>
        </w:tc>
        <w:tc>
          <w:tcPr>
            <w:tcW w:w="2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480" w:type="dxa"/>
            <w:vAlign w:val="bottom"/>
            <w:tcBorders>
              <w:top w:val="single" w:sz="8" w:color="0000EE"/>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5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480" w:type="dxa"/>
            <w:vAlign w:val="bottom"/>
            <w:tcBorders>
              <w:top w:val="single" w:sz="8" w:color="EEEEEE"/>
            </w:tcBorders>
          </w:tcPr>
          <w:p>
            <w:pPr>
              <w:spacing w:after="0"/>
              <w:rPr>
                <w:sz w:val="4"/>
                <w:szCs w:val="4"/>
                <w:color w:val="auto"/>
              </w:rPr>
            </w:pPr>
          </w:p>
        </w:tc>
        <w:tc>
          <w:tcPr>
            <w:tcW w:w="820" w:type="dxa"/>
            <w:vAlign w:val="bottom"/>
            <w:tcBorders>
              <w:top w:val="single" w:sz="8" w:color="EEEEEE"/>
            </w:tcBorders>
          </w:tcPr>
          <w:p>
            <w:pPr>
              <w:spacing w:after="0"/>
              <w:rPr>
                <w:sz w:val="4"/>
                <w:szCs w:val="4"/>
                <w:color w:val="auto"/>
              </w:rPr>
            </w:pPr>
          </w:p>
        </w:tc>
        <w:tc>
          <w:tcPr>
            <w:tcW w:w="156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24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8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KORRO BIO, INC.</w:t>
            </w:r>
          </w:p>
        </w:tc>
        <w:tc>
          <w:tcPr>
            <w:tcW w:w="1560" w:type="dxa"/>
            <w:vAlign w:val="bottom"/>
          </w:tcPr>
          <w:p>
            <w:pPr>
              <w:spacing w:after="0"/>
              <w:rPr>
                <w:sz w:val="19"/>
                <w:szCs w:val="19"/>
                <w:color w:val="auto"/>
              </w:rPr>
            </w:pPr>
          </w:p>
        </w:tc>
        <w:tc>
          <w:tcPr>
            <w:tcW w:w="14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80" w:type="dxa"/>
            <w:vAlign w:val="bottom"/>
            <w:gridSpan w:val="3"/>
            <w:vMerge w:val="continue"/>
          </w:tcPr>
          <w:p>
            <w:pPr>
              <w:spacing w:after="0"/>
              <w:rPr>
                <w:sz w:val="8"/>
                <w:szCs w:val="8"/>
                <w:color w:val="auto"/>
              </w:rPr>
            </w:pPr>
          </w:p>
        </w:tc>
        <w:tc>
          <w:tcPr>
            <w:tcW w:w="15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4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60 FIRST STREET, 2ND FLOOR, SUITE 250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198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2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20" w:type="dxa"/>
            <w:vAlign w:val="bottom"/>
            <w:gridSpan w:val="2"/>
            <w:vMerge w:val="continue"/>
          </w:tcPr>
          <w:p>
            <w:pPr>
              <w:spacing w:after="0"/>
              <w:rPr>
                <w:sz w:val="8"/>
                <w:szCs w:val="8"/>
                <w:color w:val="auto"/>
              </w:rPr>
            </w:pPr>
          </w:p>
        </w:tc>
        <w:tc>
          <w:tcPr>
            <w:tcW w:w="166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9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CAMBRIDGE  MA</w:t>
            </w:r>
          </w:p>
        </w:tc>
        <w:tc>
          <w:tcPr>
            <w:tcW w:w="1660" w:type="dxa"/>
            <w:vAlign w:val="bottom"/>
            <w:vMerge w:val="restart"/>
          </w:tcPr>
          <w:p>
            <w:pPr>
              <w:jc w:val="right"/>
              <w:ind w:right="673"/>
              <w:spacing w:after="0"/>
              <w:rPr>
                <w:sz w:val="20"/>
                <w:szCs w:val="20"/>
                <w:color w:val="auto"/>
              </w:rPr>
            </w:pPr>
            <w:r>
              <w:rPr>
                <w:rFonts w:ascii="Times New Roman" w:cs="Times New Roman" w:eastAsia="Times New Roman" w:hAnsi="Times New Roman"/>
                <w:sz w:val="17"/>
                <w:szCs w:val="17"/>
                <w:color w:val="0000FF"/>
              </w:rPr>
              <w:t>02141</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66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9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06/16/2026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3,168</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10.83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16,964</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mandatory sale of shares of common stock solely to satisfy tax withholding obligations incurred upon vesting and settlement of a restricted stock unit (RSU) granted under the Issuer's 2023 Stock Option and Incentive Plan (the 2023 Plan).</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 shares were sold in multiple transactions at prices ranging from $10.58 to $11.35, inclusive. Full information regarding the number of shares sold at each separate price can be provided to the issuer, any security holder of the issuer or the staff of the Securities and Exchange Commission upon request.</w:t>
      </w:r>
    </w:p>
    <w:p>
      <w:pPr>
        <w:spacing w:after="0" w:line="7" w:lineRule="exact"/>
        <w:rPr>
          <w:rFonts w:ascii="Times New Roman" w:cs="Times New Roman" w:eastAsia="Times New Roman" w:hAnsi="Times New Roman"/>
          <w:sz w:val="13"/>
          <w:szCs w:val="13"/>
          <w:color w:val="008000"/>
        </w:rPr>
      </w:pPr>
    </w:p>
    <w:p>
      <w:pPr>
        <w:ind w:left="40" w:right="320" w:firstLine="7"/>
        <w:spacing w:after="0" w:line="256"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10,066 shares of common stock issuable upon settlement of a RSU granted under the 2023 Plan that will vest on December 15, 2026 subject to the reporting person maintaining a continuous Service Relationship (as defined in the 2023 Plan) through such date.</w:t>
      </w:r>
    </w:p>
    <w:p>
      <w:pPr>
        <w:ind w:left="6580"/>
        <w:spacing w:after="0" w:line="229" w:lineRule="auto"/>
        <w:tabs>
          <w:tab w:leader="none" w:pos="8760" w:val="left"/>
        </w:tabs>
        <w:rPr>
          <w:sz w:val="20"/>
          <w:szCs w:val="20"/>
          <w:color w:val="auto"/>
        </w:rPr>
      </w:pPr>
      <w:r>
        <w:rPr>
          <w:rFonts w:ascii="Times New Roman" w:cs="Times New Roman" w:eastAsia="Times New Roman" w:hAnsi="Times New Roman"/>
          <w:sz w:val="17"/>
          <w:szCs w:val="17"/>
          <w:color w:val="0000FF"/>
        </w:rPr>
        <w:t>/s/ Jeffrey Cerio, Attorney-in-</w:t>
      </w:r>
      <w:r>
        <w:rPr>
          <w:sz w:val="20"/>
          <w:szCs w:val="20"/>
          <w:color w:val="auto"/>
        </w:rPr>
        <w:tab/>
      </w:r>
      <w:r>
        <w:rPr>
          <w:rFonts w:ascii="Times New Roman" w:cs="Times New Roman" w:eastAsia="Times New Roman" w:hAnsi="Times New Roman"/>
          <w:sz w:val="26"/>
          <w:szCs w:val="26"/>
          <w:color w:val="0000FF"/>
          <w:vertAlign w:val="subscript"/>
        </w:rPr>
        <w:t>06/17/2026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11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64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97992" TargetMode="External"/><Relationship Id="rId14" Type="http://schemas.openxmlformats.org/officeDocument/2006/relationships/hyperlink" Target="http://www.sec.gov/cgi-bin/browse-edgar?action=getcompany&amp;CIK=00017036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2026-06-17T15:17:14Z</dcterms:created>
  <dcterms:modified xsi:type="dcterms:W3CDTF">2026-06-17T15:17:14Z</dcterms:modified>
</cp:coreProperties>
</file>