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Cerio Jeffrey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6,609</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10.83</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35,293</w:t>
            </w:r>
            <w:r>
              <w:rPr>
                <w:rFonts w:ascii="Times;serif" w:hAnsi="Times;serif"/>
                <w:color w:val="008000"/>
                <w:position w:val="7"/>
                <w:sz w:val="16"/>
                <w:sz w:val="20"/>
                <w:shd w:fill="FFFFFF" w:val="clear"/>
              </w:rPr>
              <w:t>(3)</w:t>
            </w:r>
            <w:r>
              <w:rPr/>
              <w:t xml:space="preserve"> </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mandatory sale of shares of common stock solely to satisfy tax withholding obligations incurred upon vesting and settlement of a restricted stock unit (RSU) granted under the Issuer's 2023 Stock Option and Incentive Plan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weighted-average price. The shares were sold in multiple transactions at prices ranging from $10.58 to $11.35, inclusive. Full information regarding the number of shares sold at each separate price can be provided to the issuer, any security holder of the issuer or the staff of the Securities and Exchange Commission upon request.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20,951 shares of common stock issuable upon settlement of a RSU granted under the 2023 Plan that will vest on December 15, 2026 subject to the reporting person maintaining a continuous Service Relationship (as defined in the 2023 Plan)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Cerio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618"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3807</Characters>
  <CharactersWithSpaces>4455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