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Behbahani Ali</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2855 SAND HILL ROAD</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Korro Bio,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KRRO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16"/>
        <w:spacing w:after="0"/>
        <w:tabs>
          <w:tab w:leader="none" w:pos="171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285"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285"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MENLO PARK</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94025</w:t>
            </w:r>
          </w:p>
        </w:tc>
      </w:tr>
      <w:tr>
        <w:trPr>
          <w:trHeight w:val="146"/>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00" w:type="dxa"/>
            <w:vAlign w:val="bottom"/>
          </w:tcPr>
          <w:p>
            <w:pPr>
              <w:spacing w:after="0"/>
              <w:rPr>
                <w:sz w:val="10"/>
                <w:szCs w:val="10"/>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0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0"/>
                <w:szCs w:val="20"/>
                <w:color w:val="auto"/>
              </w:rPr>
            </w:pPr>
          </w:p>
        </w:tc>
        <w:tc>
          <w:tcPr>
            <w:tcW w:w="1880" w:type="dxa"/>
            <w:vAlign w:val="bottom"/>
            <w:gridSpan w:val="2"/>
            <w:vMerge w:val="restart"/>
          </w:tcPr>
          <w:p>
            <w:pPr>
              <w:ind w:left="900"/>
              <w:spacing w:after="0"/>
              <w:rPr>
                <w:sz w:val="20"/>
                <w:szCs w:val="20"/>
                <w:color w:val="auto"/>
              </w:rPr>
            </w:pPr>
            <w:r>
              <w:rPr>
                <w:rFonts w:ascii="Times New Roman" w:cs="Times New Roman" w:eastAsia="Times New Roman" w:hAnsi="Times New Roman"/>
                <w:sz w:val="17"/>
                <w:szCs w:val="17"/>
                <w:color w:val="0000FF"/>
              </w:rPr>
              <w:t>03/10/2026</w:t>
            </w: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207,100</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2"/>
            <w:vMerge w:val="restart"/>
          </w:tcPr>
          <w:p>
            <w:pPr>
              <w:ind w:left="18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11.11</w:t>
            </w:r>
          </w:p>
        </w:tc>
        <w:tc>
          <w:tcPr>
            <w:tcW w:w="15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1,297,893</w:t>
            </w:r>
          </w:p>
        </w:tc>
        <w:tc>
          <w:tcPr>
            <w:tcW w:w="6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 Note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88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gridSpan w:val="3"/>
            <w:vMerge w:val="restart"/>
          </w:tcPr>
          <w:p>
            <w:pPr>
              <w:spacing w:after="0" w:line="268" w:lineRule="exact"/>
              <w:rPr>
                <w:sz w:val="20"/>
                <w:szCs w:val="20"/>
                <w:color w:val="auto"/>
              </w:rPr>
            </w:pPr>
            <w:r>
              <w:rPr>
                <w:rFonts w:ascii="Times New Roman" w:cs="Times New Roman" w:eastAsia="Times New Roman" w:hAnsi="Times New Roman"/>
                <w:sz w:val="31"/>
                <w:szCs w:val="31"/>
                <w:color w:val="0000FF"/>
                <w:vertAlign w:val="subscript"/>
              </w:rPr>
              <w:t>2</w:t>
            </w:r>
            <w:r>
              <w:rPr>
                <w:rFonts w:ascii="Times New Roman" w:cs="Times New Roman" w:eastAsia="Times New Roman" w:hAnsi="Times New Roman"/>
                <w:sz w:val="10"/>
                <w:szCs w:val="10"/>
                <w:color w:val="008000"/>
              </w:rPr>
              <w:t>(2)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22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9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8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5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2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242,945</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right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See Note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8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Funded</w:t>
            </w:r>
          </w:p>
        </w:tc>
        <w:tc>
          <w:tcPr>
            <w:tcW w:w="760" w:type="dxa"/>
            <w:vAlign w:val="bottom"/>
            <w:vMerge w:val="restart"/>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1060" w:type="dxa"/>
            <w:vAlign w:val="bottom"/>
            <w:vMerge w:val="restart"/>
          </w:tcPr>
          <w:p>
            <w:pPr>
              <w:jc w:val="right"/>
              <w:ind w:right="161"/>
              <w:spacing w:after="0" w:line="140" w:lineRule="exact"/>
              <w:rPr>
                <w:sz w:val="20"/>
                <w:szCs w:val="20"/>
                <w:color w:val="auto"/>
              </w:rPr>
            </w:pPr>
            <w:r>
              <w:rPr>
                <w:rFonts w:ascii="Times New Roman" w:cs="Times New Roman" w:eastAsia="Times New Roman" w:hAnsi="Times New Roman"/>
                <w:sz w:val="13"/>
                <w:szCs w:val="13"/>
                <w:color w:val="0000FF"/>
              </w:rPr>
              <w:t>03/10/2026</w:t>
            </w:r>
          </w:p>
        </w:tc>
        <w:tc>
          <w:tcPr>
            <w:tcW w:w="108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620" w:type="dxa"/>
            <w:vAlign w:val="bottom"/>
            <w:vMerge w:val="restart"/>
          </w:tcPr>
          <w:p>
            <w:pPr>
              <w:ind w:left="80"/>
              <w:spacing w:after="0" w:line="140" w:lineRule="exact"/>
              <w:rPr>
                <w:sz w:val="20"/>
                <w:szCs w:val="20"/>
                <w:color w:val="auto"/>
              </w:rPr>
            </w:pPr>
            <w:r>
              <w:rPr>
                <w:rFonts w:ascii="Times New Roman" w:cs="Times New Roman" w:eastAsia="Times New Roman" w:hAnsi="Times New Roman"/>
                <w:sz w:val="13"/>
                <w:szCs w:val="13"/>
                <w:color w:val="0000FF"/>
              </w:rPr>
              <w:t>242,945</w:t>
            </w:r>
          </w:p>
        </w:tc>
        <w:tc>
          <w:tcPr>
            <w:tcW w:w="2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restart"/>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11.109</w:t>
            </w:r>
          </w:p>
        </w:tc>
        <w:tc>
          <w:tcPr>
            <w:tcW w:w="920" w:type="dxa"/>
            <w:vAlign w:val="bottom"/>
            <w:vMerge w:val="restart"/>
          </w:tcPr>
          <w:p>
            <w:pPr>
              <w:ind w:left="260"/>
              <w:spacing w:after="0" w:line="140" w:lineRule="exact"/>
              <w:rPr>
                <w:sz w:val="20"/>
                <w:szCs w:val="20"/>
                <w:color w:val="auto"/>
              </w:rPr>
            </w:pPr>
            <w:r>
              <w:rPr>
                <w:rFonts w:ascii="Times New Roman" w:cs="Times New Roman" w:eastAsia="Times New Roman" w:hAnsi="Times New Roman"/>
                <w:sz w:val="13"/>
                <w:szCs w:val="13"/>
                <w:color w:val="0000FF"/>
              </w:rPr>
              <w:t>242,945</w:t>
            </w:r>
          </w:p>
        </w:tc>
        <w:tc>
          <w:tcPr>
            <w:tcW w:w="640" w:type="dxa"/>
            <w:vAlign w:val="bottom"/>
            <w:vMerge w:val="restart"/>
          </w:tcPr>
          <w:p>
            <w:pPr>
              <w:ind w:left="340"/>
              <w:spacing w:after="0" w:line="140" w:lineRule="exact"/>
              <w:rPr>
                <w:sz w:val="20"/>
                <w:szCs w:val="20"/>
                <w:color w:val="auto"/>
              </w:rPr>
            </w:pPr>
            <w:r>
              <w:rPr>
                <w:rFonts w:ascii="Times New Roman" w:cs="Times New Roman" w:eastAsia="Times New Roman" w:hAnsi="Times New Roman"/>
                <w:sz w:val="13"/>
                <w:szCs w:val="13"/>
                <w:color w:val="0000FF"/>
              </w:rPr>
              <w:t>I</w:t>
            </w:r>
          </w:p>
        </w:tc>
        <w:tc>
          <w:tcPr>
            <w:tcW w:w="80" w:type="dxa"/>
            <w:vAlign w:val="bottom"/>
          </w:tcPr>
          <w:p>
            <w:pPr>
              <w:spacing w:after="0"/>
              <w:rPr>
                <w:sz w:val="4"/>
                <w:szCs w:val="4"/>
                <w:color w:val="auto"/>
              </w:rPr>
            </w:pPr>
          </w:p>
        </w:tc>
        <w:tc>
          <w:tcPr>
            <w:tcW w:w="74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w w:val="94"/>
              </w:rPr>
              <w:t>Stock</w:t>
            </w:r>
          </w:p>
        </w:tc>
        <w:tc>
          <w:tcPr>
            <w:tcW w:w="2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00FF"/>
                <w:w w:val="71"/>
              </w:rPr>
              <w:t>2</w:t>
            </w:r>
          </w:p>
        </w:tc>
        <w:tc>
          <w:tcPr>
            <w:tcW w:w="520" w:type="dxa"/>
            <w:vAlign w:val="bottom"/>
          </w:tcPr>
          <w:p>
            <w:pPr>
              <w:jc w:val="right"/>
              <w:ind w:right="332"/>
              <w:spacing w:after="0" w:line="89" w:lineRule="exact"/>
              <w:rPr>
                <w:sz w:val="20"/>
                <w:szCs w:val="20"/>
                <w:color w:val="auto"/>
              </w:rPr>
            </w:pPr>
            <w:r>
              <w:rPr>
                <w:rFonts w:ascii="Times New Roman" w:cs="Times New Roman" w:eastAsia="Times New Roman" w:hAnsi="Times New Roman"/>
                <w:sz w:val="10"/>
                <w:szCs w:val="10"/>
                <w:color w:val="008000"/>
              </w:rPr>
              <w:t>(2)</w:t>
            </w: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Borders>
              <w:right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Acquired from the Issuer on March 10, 2026 pursuant to a Subscription Agreement dated March 9, 2026.</w:t>
      </w:r>
    </w:p>
    <w:p>
      <w:pPr>
        <w:spacing w:after="0" w:line="41" w:lineRule="exact"/>
        <w:rPr>
          <w:rFonts w:ascii="Times New Roman" w:cs="Times New Roman" w:eastAsia="Times New Roman" w:hAnsi="Times New Roman"/>
          <w:sz w:val="13"/>
          <w:szCs w:val="13"/>
          <w:color w:val="008000"/>
        </w:rPr>
      </w:pPr>
    </w:p>
    <w:p>
      <w:pPr>
        <w:ind w:left="40" w:right="4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manager of NEA 17 GP, LLC, which is the sole general partner of NEA Partners 17, L.P. ("NEA Partners 17"). NEA Partners 17 is the sole general partner of New Enterprise Associates 17, L.P. ("NEA 17"), the direct beneficial owner of the securities. The Reporting Person disclaims beneficial ownership within the meaning of Section 16 of the Securities Exchange Act of 1934, as amended, or otherwise of such portion of the securities held by NEA 17 in which the Reporting Person has no pecuniary interest.</w:t>
      </w:r>
    </w:p>
    <w:p>
      <w:pPr>
        <w:spacing w:after="0" w:line="26" w:lineRule="exact"/>
        <w:rPr>
          <w:rFonts w:ascii="Times New Roman" w:cs="Times New Roman" w:eastAsia="Times New Roman" w:hAnsi="Times New Roman"/>
          <w:sz w:val="13"/>
          <w:szCs w:val="13"/>
          <w:color w:val="008000"/>
        </w:rPr>
      </w:pPr>
    </w:p>
    <w:p>
      <w:pPr>
        <w:jc w:val="both"/>
        <w:ind w:left="40" w:right="26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are exercisable at any time after their issuance; provided, however, that the Pre-Funded Warrants may not be exercised to the extent such exercise would cause the number of shares of the Issuer's Common Stock owned by the holder (together with its affiliates and certain other related parties) to exceed 9.99% of the total number of shares of the Issuer's Common Stock immediately after giving effect to such exercise, which percentage may be increased or decreased at the option of the holder upon 61 days' prior notice to the Issuer, not to exceed 19.99%.</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Zachary Bambach, attorney-  </w:t>
      </w:r>
      <w:r>
        <w:rPr>
          <w:rFonts w:ascii="Times New Roman" w:cs="Times New Roman" w:eastAsia="Times New Roman" w:hAnsi="Times New Roman"/>
          <w:sz w:val="31"/>
          <w:szCs w:val="31"/>
          <w:color w:val="0000FF"/>
          <w:vertAlign w:val="subscript"/>
        </w:rPr>
        <w:t>03/12/2026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252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52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274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13867" TargetMode="External"/><Relationship Id="rId14" Type="http://schemas.openxmlformats.org/officeDocument/2006/relationships/hyperlink" Target="http://www.sec.gov/cgi-bin/browse-edgar?action=getcompany&amp;CIK=0001703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2026-03-12T19:16:57Z</dcterms:created>
  <dcterms:modified xsi:type="dcterms:W3CDTF">2026-03-12T19:16:57Z</dcterms:modified>
</cp:coreProperties>
</file>