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Chappell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24,464</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issuable upon settlement of a restricted stock unit (RSU) granted under the Issuer's 2023 Stock Option and Incentive Plan (the 2023 Plan) that will vest as follows: 50% on July 15, 2027 and 50% on July 15, 2028, in each case subject to the reporting person maintaining a continuous Service Relationship (as defined in the 2023 Plan)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17,566 shares of common stock issuable upon settlement of restricted stock units (RSUs) that remain unvested, consisting of 10,066 shares that will vest on December 15, 2026, 3,750 shares that will vest on July 15, 2027, and 3,750 shares that will vest on July 15, 2028, in each case subject to the reporting person maintaining a continuous Service Relationship (as defined in the 2023 Plan)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Cerio,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992"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3762</Characters>
  <CharactersWithSpaces>4406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